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6E0C" w14:textId="585981E5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0A6">
        <w:rPr>
          <w:rFonts w:ascii="Segoe UI Symbol" w:eastAsia="Times New Roman" w:hAnsi="Segoe UI Symbol" w:cs="Segoe UI Symbol"/>
          <w:bCs/>
          <w:sz w:val="28"/>
          <w:szCs w:val="28"/>
        </w:rPr>
        <w:t>☝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🏼</w:t>
      </w:r>
      <w:r>
        <w:rPr>
          <w:rFonts w:ascii="Calibri" w:eastAsia="Times New Roman" w:hAnsi="Calibri" w:cs="Calibri"/>
          <w:bCs/>
          <w:sz w:val="28"/>
          <w:szCs w:val="28"/>
          <w:lang w:val="uk-UA"/>
        </w:rPr>
        <w:t>Командування Медичних Сил ЗС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дозволило заміну (конверсію)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та опрацювало відповідні методичні рекомендації</w:t>
      </w:r>
    </w:p>
    <w:p w14:paraId="42F4A2DE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*</w:t>
      </w:r>
    </w:p>
    <w:p w14:paraId="3E18F6B1" w14:textId="5918B376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реальних бойових умовах евакуація військовослужбовця з накладеним на кінцівку турнікетом до передових хірургічних підрозділів, де можна виконати оперативне втручання з відновлення кровообігу в кінцівках, може займати понад 2 год, а іноді перевищує 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EBCA82F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68D02A5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такого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тривалого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зазвичай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розвивається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гостра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незворотна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ішемія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надалі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призводить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невчасна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-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гострого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пошкодження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нирок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поліорганної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недостатності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загибелі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пацієнта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навіть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тих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мали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травматичної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AAB392C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BD46E5" w14:textId="0E9B34E1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✔️</w:t>
      </w:r>
      <w:r w:rsidRPr="005D30A6">
        <w:t xml:space="preserve"> </w:t>
      </w:r>
      <w:r w:rsidRPr="005D30A6">
        <w:rPr>
          <w:rFonts w:ascii="Calibri" w:eastAsia="Times New Roman" w:hAnsi="Calibri" w:cs="Calibri"/>
          <w:bCs/>
          <w:sz w:val="28"/>
          <w:szCs w:val="28"/>
        </w:rPr>
        <w:t>У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зв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’</w:t>
      </w:r>
      <w:r w:rsidRPr="005D30A6">
        <w:rPr>
          <w:rFonts w:ascii="Calibri" w:eastAsia="Times New Roman" w:hAnsi="Calibri" w:cs="Calibri"/>
          <w:bCs/>
          <w:sz w:val="28"/>
          <w:szCs w:val="28"/>
        </w:rPr>
        <w:t>язку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r w:rsidRPr="005D30A6">
        <w:rPr>
          <w:rFonts w:ascii="Calibri" w:eastAsia="Times New Roman" w:hAnsi="Calibri" w:cs="Calibri"/>
          <w:bCs/>
          <w:sz w:val="28"/>
          <w:szCs w:val="28"/>
        </w:rPr>
        <w:t>з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цим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було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прийнято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зміни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r w:rsidRPr="005D30A6">
        <w:rPr>
          <w:rFonts w:ascii="Calibri" w:eastAsia="Times New Roman" w:hAnsi="Calibri" w:cs="Calibri"/>
          <w:bCs/>
          <w:sz w:val="28"/>
          <w:szCs w:val="28"/>
        </w:rPr>
        <w:t>до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принципів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конверсії</w:t>
      </w:r>
      <w:proofErr w:type="spellEnd"/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 xml:space="preserve"> </w:t>
      </w:r>
      <w:proofErr w:type="spellStart"/>
      <w:r w:rsidRPr="005D30A6">
        <w:rPr>
          <w:rFonts w:ascii="Calibri" w:eastAsia="Times New Roman" w:hAnsi="Calibri" w:cs="Calibri"/>
          <w:bCs/>
          <w:sz w:val="28"/>
          <w:szCs w:val="28"/>
        </w:rPr>
        <w:t>турнікета</w:t>
      </w:r>
      <w:proofErr w:type="spellEnd"/>
      <w:r>
        <w:rPr>
          <w:rFonts w:ascii="Calibri" w:eastAsia="Times New Roman" w:hAnsi="Calibri" w:cs="Calibri"/>
          <w:bCs/>
          <w:sz w:val="28"/>
          <w:szCs w:val="28"/>
          <w:lang w:val="uk-UA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разі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слід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розглядати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концепцію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95586FA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127D8BF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Щойно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дозволяє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ситуація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повинно бути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зроблене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повторне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необхідності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ухвалене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14:paraId="60B2EC81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27F7E4" w14:textId="6D274DA8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📌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підхід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ухвалюється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заміни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Таке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оцінювання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повинно бути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зроблене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якомога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скоріше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однак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пізніше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ніж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через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год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після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первинного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75DB64D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2784F5" w14:textId="4CF7C1E3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Процедуру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виконують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медпрацівники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військовослужбовці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відповідною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підготовкою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зоні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„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епрямої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загрози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“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та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етапах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медичної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евакуації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42494CE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_</w:t>
      </w:r>
    </w:p>
    <w:p w14:paraId="2A6D6899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про:</w:t>
      </w:r>
    </w:p>
    <w:p w14:paraId="42526D2E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🔹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часові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межі</w:t>
      </w:r>
      <w:proofErr w:type="spellEnd"/>
    </w:p>
    <w:p w14:paraId="6F334F01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🔹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протипоказання</w:t>
      </w:r>
      <w:proofErr w:type="spellEnd"/>
    </w:p>
    <w:p w14:paraId="1E6ADCA4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🔹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послідовність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дій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</w:p>
    <w:p w14:paraId="049F3C0D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lastRenderedPageBreak/>
        <w:t>🔹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рекомендації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механічних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засобів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зокрема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6BCF623C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інфографіках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🔎</w:t>
      </w:r>
    </w:p>
    <w:p w14:paraId="0DF89BC0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7BC349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❗️</w:t>
      </w: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ВАЖЛИВО</w:t>
      </w:r>
      <w:r w:rsidRPr="005D30A6">
        <w:rPr>
          <w:rFonts w:ascii="Segoe UI Emoji" w:eastAsia="Times New Roman" w:hAnsi="Segoe UI Emoji" w:cs="Segoe UI Emoji"/>
          <w:bCs/>
          <w:sz w:val="28"/>
          <w:szCs w:val="28"/>
        </w:rPr>
        <w:t>❗️</w:t>
      </w:r>
    </w:p>
    <w:p w14:paraId="47FF7347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‼️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минуло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понад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6 год,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тоді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догоспітальному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етапі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небезпечним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забороненим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DF647A1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5DA75" w14:textId="5C26C759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‼️Категорично заборонено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тимчасово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послаблювати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оксигенації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тканин,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адже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існує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ризик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смерті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внаслідок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втрати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малими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об’ємами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1694E8" w14:textId="77777777" w:rsidR="005D30A6" w:rsidRPr="005D30A6" w:rsidRDefault="005D30A6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01" w14:textId="7B8A8B80" w:rsidR="000363FF" w:rsidRPr="005D30A6" w:rsidRDefault="00000000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Командуванні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Медичних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Збройних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України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опрацьовано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зміни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</w:t>
      </w:r>
      <w:proofErr w:type="gram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методичних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настанов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компресії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турнікетів</w:t>
      </w:r>
      <w:proofErr w:type="spellEnd"/>
    </w:p>
    <w:p w14:paraId="00000002" w14:textId="77777777" w:rsidR="000363FF" w:rsidRPr="005D30A6" w:rsidRDefault="00000000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Досвід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російсько-української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війни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яка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триває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2014 року по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теперішній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показує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реальних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бойових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умовах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евакуація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військовослужбовця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накладеним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передових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хірургічних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підрозділів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бути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виконане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оперативне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втручання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кровообігу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кінцівках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займати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годин, 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іноді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перевищує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6 годин. При такому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тривалому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перебуванні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зазвичай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розвивається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гостра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незворотна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ішемія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подальшому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призводить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А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невчасній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призводить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гострого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пошкодження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нирок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поліорганної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недостатності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загибелі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пацієнта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навіть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у тих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мали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травматичної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пошкодження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магістральних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судин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великих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дефектів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критичної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000004" w14:textId="77777777" w:rsidR="000363FF" w:rsidRPr="005D30A6" w:rsidRDefault="00000000" w:rsidP="005D30A6">
      <w:pPr>
        <w:ind w:right="14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Зараз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слід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розглядати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концепцію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00000005" w14:textId="77777777" w:rsidR="000363FF" w:rsidRPr="005D30A6" w:rsidRDefault="00000000" w:rsidP="005D30A6">
      <w:pPr>
        <w:ind w:right="14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“як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тільки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дозволяє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ситуація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повинна бути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зроблена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повторна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оцінка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необхідності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використання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прийнято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рішення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”. </w:t>
      </w:r>
    </w:p>
    <w:p w14:paraId="00000006" w14:textId="77777777" w:rsidR="000363FF" w:rsidRPr="005D30A6" w:rsidRDefault="00000000" w:rsidP="005D30A6">
      <w:pPr>
        <w:ind w:right="140" w:firstLine="7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Конверсія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підхід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при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якому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приймається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рішення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заміни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інший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метод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зупинки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Така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оцінка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повинна бути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зроблена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якомога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скоріше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однак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пізніше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ніж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через 2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години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після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первинного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0000007" w14:textId="77777777" w:rsidR="000363FF" w:rsidRPr="005D30A6" w:rsidRDefault="00000000" w:rsidP="005D30A6">
      <w:pPr>
        <w:ind w:right="140" w:firstLine="72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Конверсію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виконують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медичні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працівники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військовослужбовці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відповідною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підготовкою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старші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бойові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медики,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бойові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медики та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інші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військовослужбовці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які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пройшли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підготовку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тактичної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медицини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виконують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інструкції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медичного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працівника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по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що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надаються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засобами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звʼязку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).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Конверсію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виконують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зоні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“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Непрямої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загрози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”,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під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 та на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етапах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медичної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евакуації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0000008" w14:textId="77777777" w:rsidR="000363FF" w:rsidRPr="005D30A6" w:rsidRDefault="000363FF" w:rsidP="005D30A6">
      <w:pPr>
        <w:ind w:right="14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0000009" w14:textId="77777777" w:rsidR="000363FF" w:rsidRPr="005D30A6" w:rsidRDefault="00000000" w:rsidP="005D30A6">
      <w:pPr>
        <w:ind w:right="14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Часові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межі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виконання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</w:p>
    <w:p w14:paraId="0000000A" w14:textId="77777777" w:rsidR="000363FF" w:rsidRPr="005D30A6" w:rsidRDefault="00000000" w:rsidP="005D30A6">
      <w:pPr>
        <w:ind w:right="1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вважається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безпечним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показах), коли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пройшло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менше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годин; </w:t>
      </w:r>
    </w:p>
    <w:p w14:paraId="0000000B" w14:textId="77777777" w:rsidR="000363FF" w:rsidRPr="005D30A6" w:rsidRDefault="00000000" w:rsidP="005D30A6">
      <w:pPr>
        <w:ind w:right="1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слід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розглядати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спробу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 показах) коли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пройшло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2 до 6 годин. 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цьому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діапазоні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проводиться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медичним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працівником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можливість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попередньо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забезпечити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венозний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кістковий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доступ,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оцінити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життєздатність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провести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необхідний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обсяг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інфузійної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терапії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та,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потребі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ресусцитацію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0C" w14:textId="77777777" w:rsidR="000363FF" w:rsidRPr="005D30A6" w:rsidRDefault="00000000" w:rsidP="005D30A6">
      <w:pPr>
        <w:ind w:right="1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пройшло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ніж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6 годин,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тоді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догоспітальному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етапі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небезпечним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забороненим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0D" w14:textId="77777777" w:rsidR="000363FF" w:rsidRPr="005D30A6" w:rsidRDefault="000363FF" w:rsidP="005D30A6">
      <w:pPr>
        <w:ind w:right="14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0E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Протипокази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000000F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1) травматична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окрім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ампутацій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кисті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стопи; </w:t>
      </w:r>
    </w:p>
    <w:p w14:paraId="00000010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умови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неможливо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забезпечити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спостереження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постраждалим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немає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змоги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безпосередньо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спостерігати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раною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кінцівці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11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3) 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ознаки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шоку; </w:t>
      </w:r>
    </w:p>
    <w:p w14:paraId="00000012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моменту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пройшло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6 годин; </w:t>
      </w:r>
    </w:p>
    <w:p w14:paraId="00000013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5)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тактичних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медичних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міркувань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перехід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методів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є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недоцільним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14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5" w14:textId="77777777" w:rsidR="000363FF" w:rsidRPr="005D30A6" w:rsidRDefault="00000000" w:rsidP="005D30A6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Категорично заборонено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тимчасово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послаблювати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оксигенації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тканин –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існує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ризик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смерті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внаслідок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втрати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малими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об’ємами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000016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7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Послідовність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дій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0000018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розріжте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одяг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ретельний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огляд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ран/рани; </w:t>
      </w:r>
    </w:p>
    <w:p w14:paraId="00000019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затампонуйте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рану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розмір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ранового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каналу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дозволяє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маніпуляцію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доступним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засобом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краще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бинтом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кровоспинним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тампонувальним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); </w:t>
      </w:r>
    </w:p>
    <w:p w14:paraId="0000001A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компресійну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тиснучу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пов’язку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1B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повільно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протягом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хвилини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послабляйте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слідкуйте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станом рани:</w:t>
      </w:r>
    </w:p>
    <w:p w14:paraId="0000001C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активна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рани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відсутня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знімайте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послаблений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випадок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переміщення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евакуації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постраждалого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спостерігайте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станом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накладеною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тиснучою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пов’язкою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00001D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рани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відновилася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затисніть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повторно і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робіть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спроб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У такому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випадку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виконайте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кроки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переміщення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він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накладений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поверх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одягу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надто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високо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і туго.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Розмістіть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додатковий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прицільний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шкірі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gram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5-8</w:t>
      </w:r>
      <w:proofErr w:type="gram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рани.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Потім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повільно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послаблюйте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початковий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протягом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однієї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хвилини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спостерігаючи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наявності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ознак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повторної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дистального пульсу.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Посуньте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початково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накладений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(и) вниз,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залиште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знімаючи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ближче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проксимальніше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прицільного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випадках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повторної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пульсу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початковий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можна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знову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затягнути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прицільний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затягнути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скоригувати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положення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сильніше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затягнути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після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цього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також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знадобитися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накласти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другий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поряд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із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прицільним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Іноді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спроба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замінити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виявляється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невдалою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і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знадобитися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повернення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початкового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місця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1E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1F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Слідкуйте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станом рани в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динаміці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</w:p>
    <w:p w14:paraId="00000020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допомогою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наклавши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5-8 см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рани,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зникнення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пульсу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дистальніше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нього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2)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появі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ознак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компартмент-синдрому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шість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ознак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розпираючий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біль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холодна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дотик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зменшення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шкірної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чутливості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погіршення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самостійних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рухів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пальців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пов’язано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безпосередньо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пораненям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дистального пульсу,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блідість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ціаноз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мармуровість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шкіри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медичним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працівником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приймається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рішення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щодо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послаблення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тиснучої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пов’язки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або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відновленні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21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22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5.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Рекомендації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механічних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засобів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(у тому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числі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</w:p>
    <w:p w14:paraId="00000023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механічних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засобів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іншого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виду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еластичні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/та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виконується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допомогою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концепції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“плюс 1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”: </w:t>
      </w:r>
    </w:p>
    <w:p w14:paraId="00000024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розріжте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одяг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ретельно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огляньте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рану; </w:t>
      </w:r>
    </w:p>
    <w:p w14:paraId="00000025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0000026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перший (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еластичний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накладено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відстані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5-8</w:t>
      </w:r>
      <w:proofErr w:type="gram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рани,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додатковий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максимально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близько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першого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27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перший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кровоспинний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джгут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розміщений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максимально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високо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розмістить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відстані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5-8</w:t>
      </w:r>
      <w:proofErr w:type="gram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см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вище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рани; </w:t>
      </w:r>
    </w:p>
    <w:p w14:paraId="00000028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накладати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ділянки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суглобів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000029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затягніть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щоб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він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надійно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знаходився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кінцівці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не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зміщувався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однак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надмірного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додаткового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м’які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тканини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2A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виконайте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тампонування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рани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накладіть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тиснучу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пов’язку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2B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обережно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послабте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тиск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першого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джгута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спостерігайте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раною:</w:t>
      </w:r>
    </w:p>
    <w:p w14:paraId="0000002C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рани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немає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зніміть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еластичний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джгут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залишаючи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кінцівці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лише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00002D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якщо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 рани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відновилась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її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допомогою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турнікета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затиснувши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його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зникнення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пульсу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дистальніше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00002E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після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зупинки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кровотечі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зніміть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еластичний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імпровізований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джгут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2F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30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Подальші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спроби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до моменту</w:t>
      </w:r>
      <w:proofErr w:type="gram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кінцевого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хірургічного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лікування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рекомендовано. </w:t>
      </w:r>
    </w:p>
    <w:p w14:paraId="00000031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32" w14:textId="77777777" w:rsidR="000363FF" w:rsidRPr="005D30A6" w:rsidRDefault="00000000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проведенням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конверсії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турнікету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необхідно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можливості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знеболити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>пораненого</w:t>
      </w:r>
      <w:proofErr w:type="spellEnd"/>
      <w:r w:rsidRPr="005D30A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0000033" w14:textId="77777777" w:rsidR="000363FF" w:rsidRPr="005D30A6" w:rsidRDefault="000363FF" w:rsidP="005D30A6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34" w14:textId="77777777" w:rsidR="000363FF" w:rsidRPr="005D30A6" w:rsidRDefault="000363FF" w:rsidP="005D30A6">
      <w:pPr>
        <w:rPr>
          <w:bCs/>
        </w:rPr>
      </w:pPr>
    </w:p>
    <w:sectPr w:rsidR="000363FF" w:rsidRPr="005D30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FF"/>
    <w:rsid w:val="000363FF"/>
    <w:rsid w:val="005D30A6"/>
    <w:rsid w:val="00A13EE4"/>
    <w:rsid w:val="00C6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F656"/>
  <w15:docId w15:val="{7DF4D240-F383-4CFA-8CD4-DF5945D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5508</Words>
  <Characters>3140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Oksana Horbach</cp:lastModifiedBy>
  <cp:revision>3</cp:revision>
  <dcterms:created xsi:type="dcterms:W3CDTF">2023-07-19T13:01:00Z</dcterms:created>
  <dcterms:modified xsi:type="dcterms:W3CDTF">2023-07-24T11:23:00Z</dcterms:modified>
</cp:coreProperties>
</file>